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BC" w:rsidRDefault="00577BBC"/>
    <w:tbl>
      <w:tblPr>
        <w:tblStyle w:val="Tabelraster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7796"/>
      </w:tblGrid>
      <w:tr w:rsidR="001E4781" w:rsidTr="00011F04">
        <w:tc>
          <w:tcPr>
            <w:tcW w:w="9889" w:type="dxa"/>
            <w:gridSpan w:val="2"/>
            <w:shd w:val="clear" w:color="auto" w:fill="D99594" w:themeFill="accent2" w:themeFillTint="99"/>
          </w:tcPr>
          <w:p w:rsidR="004D0452" w:rsidRDefault="004D0452">
            <w:pPr>
              <w:rPr>
                <w:b/>
                <w:sz w:val="28"/>
                <w:szCs w:val="28"/>
              </w:rPr>
            </w:pPr>
          </w:p>
          <w:p w:rsidR="004D0452" w:rsidRPr="00577BBC" w:rsidRDefault="001E47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EIGEN BIJDRAGEN EN VERGOEDINGEN</w:t>
            </w:r>
            <w:r w:rsidR="004D0452">
              <w:rPr>
                <w:b/>
                <w:sz w:val="28"/>
                <w:szCs w:val="28"/>
              </w:rPr>
              <w:t xml:space="preserve"> </w:t>
            </w:r>
            <w:r w:rsidR="00C464F4">
              <w:rPr>
                <w:b/>
                <w:sz w:val="28"/>
                <w:szCs w:val="28"/>
              </w:rPr>
              <w:br/>
              <w:t xml:space="preserve">AANVULLENDE DIENSTEN </w:t>
            </w:r>
            <w:r w:rsidR="004D0452">
              <w:rPr>
                <w:b/>
                <w:sz w:val="28"/>
                <w:szCs w:val="28"/>
              </w:rPr>
              <w:t>BIJ DE OKKERNOOT</w:t>
            </w:r>
            <w:bookmarkStart w:id="0" w:name="_GoBack"/>
            <w:bookmarkEnd w:id="0"/>
          </w:p>
        </w:tc>
      </w:tr>
      <w:tr w:rsidR="00577BBC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577BBC" w:rsidRPr="00162032" w:rsidRDefault="00577BBC">
            <w:pPr>
              <w:rPr>
                <w:b/>
              </w:rPr>
            </w:pPr>
            <w:r w:rsidRPr="00162032">
              <w:rPr>
                <w:b/>
              </w:rPr>
              <w:t>Voeding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 w:rsidP="001E4781"/>
          <w:p w:rsidR="00577BBC" w:rsidRDefault="00AC3A05" w:rsidP="001E4781">
            <w:r>
              <w:t xml:space="preserve">We hebben een </w:t>
            </w:r>
            <w:r w:rsidR="001E4781">
              <w:t xml:space="preserve">eigen </w:t>
            </w:r>
            <w:r>
              <w:t>keuken</w:t>
            </w:r>
            <w:r w:rsidR="00A901E9">
              <w:t xml:space="preserve"> en kok</w:t>
            </w:r>
            <w:r w:rsidR="001E4781">
              <w:t>, die de maaltijd</w:t>
            </w:r>
            <w:r w:rsidR="00CF7834">
              <w:t xml:space="preserve"> verzorgt</w:t>
            </w:r>
            <w:r w:rsidR="00E76834">
              <w:t xml:space="preserve"> voor </w:t>
            </w:r>
            <w:r w:rsidR="00AC076D">
              <w:t xml:space="preserve">de </w:t>
            </w:r>
            <w:r w:rsidR="00E76834">
              <w:t xml:space="preserve">bewoners (intramuraal). </w:t>
            </w:r>
            <w:r w:rsidR="00DD431E">
              <w:br/>
            </w:r>
            <w:r w:rsidR="00E76834">
              <w:t>De bewoners met een extramurale indicatie kunnen tegen kostprijs (Nibud; kostprijs</w:t>
            </w:r>
            <w:r w:rsidR="00AC076D">
              <w:t xml:space="preserve">) </w:t>
            </w:r>
            <w:r w:rsidR="00E76834">
              <w:t xml:space="preserve">worden afgehaald in onze keuken. </w:t>
            </w:r>
            <w:r w:rsidR="004D0452">
              <w:br/>
            </w:r>
          </w:p>
        </w:tc>
      </w:tr>
      <w:tr w:rsidR="00577BBC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577BBC" w:rsidRPr="00162032" w:rsidRDefault="00577BBC">
            <w:pPr>
              <w:rPr>
                <w:b/>
              </w:rPr>
            </w:pPr>
            <w:r w:rsidRPr="00162032">
              <w:rPr>
                <w:b/>
              </w:rPr>
              <w:t>Schoonmaak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 w:rsidP="00CF7834"/>
          <w:p w:rsidR="00577BBC" w:rsidRDefault="00826D45" w:rsidP="00CF7834">
            <w:r>
              <w:t>Algem</w:t>
            </w:r>
            <w:r w:rsidR="00CF7834">
              <w:t>ene ruimten worden door ons Team Huishoudelijke Dienst</w:t>
            </w:r>
            <w:r w:rsidR="00785BAB">
              <w:t xml:space="preserve"> schoongemaakt. </w:t>
            </w:r>
            <w:r>
              <w:t xml:space="preserve">De appartementen </w:t>
            </w:r>
            <w:r w:rsidR="00785BAB">
              <w:t>maken zij</w:t>
            </w:r>
            <w:r>
              <w:t xml:space="preserve"> samen met de bewoner schoon.</w:t>
            </w:r>
          </w:p>
          <w:p w:rsidR="00011F04" w:rsidRDefault="00011F04" w:rsidP="00CF7834"/>
        </w:tc>
      </w:tr>
      <w:tr w:rsidR="00577BBC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577BBC" w:rsidRPr="00162032" w:rsidRDefault="00577BBC">
            <w:pPr>
              <w:rPr>
                <w:b/>
              </w:rPr>
            </w:pPr>
            <w:r w:rsidRPr="00162032">
              <w:rPr>
                <w:b/>
              </w:rPr>
              <w:t>Kabelaansluiting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 w:rsidP="001E4781"/>
          <w:p w:rsidR="00577BBC" w:rsidRDefault="00826D45" w:rsidP="001E4781">
            <w:r>
              <w:t>Elk nieuw appartement is voorzien van een kabel</w:t>
            </w:r>
            <w:r w:rsidR="00AC3A05">
              <w:t>- en internetaansluiting.</w:t>
            </w:r>
            <w:r w:rsidR="00DD431E">
              <w:br/>
              <w:t>De bewoner kan gebruik maken van het internetabonnement dat is afgesloten door de Okkernoot.</w:t>
            </w:r>
            <w:r w:rsidR="004D0452">
              <w:br/>
            </w:r>
          </w:p>
        </w:tc>
      </w:tr>
      <w:tr w:rsidR="00577BBC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577BBC" w:rsidRPr="00162032" w:rsidRDefault="00577BBC">
            <w:pPr>
              <w:rPr>
                <w:b/>
              </w:rPr>
            </w:pPr>
            <w:r w:rsidRPr="00162032">
              <w:rPr>
                <w:b/>
              </w:rPr>
              <w:t>Telefoonkosten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/>
          <w:p w:rsidR="00577BBC" w:rsidRDefault="00826D45">
            <w:r>
              <w:t>Algemene telefoons, op de gang</w:t>
            </w:r>
            <w:r w:rsidR="00162032">
              <w:t xml:space="preserve"> en in de gezamenlijke ruimtes</w:t>
            </w:r>
            <w:r>
              <w:t>, mogen gratis door de bewoners worden gebruikt. Indien men een va</w:t>
            </w:r>
            <w:r w:rsidR="001E4781">
              <w:t>st</w:t>
            </w:r>
            <w:r w:rsidR="00785BAB">
              <w:t>e</w:t>
            </w:r>
            <w:r>
              <w:t xml:space="preserve"> telefoon op de kamer wenst moeten de k</w:t>
            </w:r>
            <w:r w:rsidR="00AC3A05">
              <w:t>osten voor het toestel en de ab</w:t>
            </w:r>
            <w:r>
              <w:t>on</w:t>
            </w:r>
            <w:r w:rsidR="00AC3A05">
              <w:t>ne</w:t>
            </w:r>
            <w:r>
              <w:t>mentskosten zelf worden betaald. Aansluiting voor internettelefoon is voorzien</w:t>
            </w:r>
            <w:r w:rsidR="00162032">
              <w:t xml:space="preserve"> in alle nieuwe appartementen.</w:t>
            </w:r>
            <w:r w:rsidR="004D0452">
              <w:br/>
            </w:r>
          </w:p>
        </w:tc>
      </w:tr>
      <w:tr w:rsidR="00577BBC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577BBC" w:rsidRPr="00162032" w:rsidRDefault="00826D45">
            <w:pPr>
              <w:rPr>
                <w:b/>
              </w:rPr>
            </w:pPr>
            <w:r w:rsidRPr="00162032">
              <w:rPr>
                <w:b/>
              </w:rPr>
              <w:t>WA-verzekering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 w:rsidP="007D7998"/>
          <w:p w:rsidR="00577BBC" w:rsidRDefault="00DD431E" w:rsidP="007D7998">
            <w:r>
              <w:t>Voor alle bewoners (intramuraal) is een WA verzekering afgesloten door de Okkernoot.</w:t>
            </w:r>
            <w:r w:rsidR="00DB17EF">
              <w:t xml:space="preserve"> Bewoners met een extramurale indicatie kunnen tegen een lage kostprijs </w:t>
            </w:r>
            <w:r w:rsidR="007D7998">
              <w:t>zich hier</w:t>
            </w:r>
            <w:r w:rsidR="00DB17EF">
              <w:t xml:space="preserve">bij aansluiten. </w:t>
            </w:r>
            <w:r w:rsidR="00785BAB">
              <w:br/>
            </w:r>
            <w:r w:rsidR="00DB17EF">
              <w:t xml:space="preserve">Zij kunnen uiteraard ook zelf een WA-verzekering afsluiten.  </w:t>
            </w:r>
            <w:r w:rsidR="004D0452">
              <w:br/>
            </w:r>
          </w:p>
        </w:tc>
      </w:tr>
      <w:tr w:rsidR="00577BBC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577BBC" w:rsidRPr="00162032" w:rsidRDefault="00826D45">
            <w:pPr>
              <w:rPr>
                <w:b/>
              </w:rPr>
            </w:pPr>
            <w:proofErr w:type="spellStart"/>
            <w:r w:rsidRPr="00162032">
              <w:rPr>
                <w:b/>
              </w:rPr>
              <w:t>Inboedel-verzekering</w:t>
            </w:r>
            <w:proofErr w:type="spellEnd"/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 w:rsidP="007D7998"/>
          <w:p w:rsidR="00577BBC" w:rsidRDefault="00DB17EF" w:rsidP="007D7998">
            <w:r>
              <w:t>Voor alle bewoners (intramuraal) is een inboedelverzekering afgesl</w:t>
            </w:r>
            <w:r w:rsidR="00D702DA">
              <w:t>oten door de Okkernoot (max. € 20.000).</w:t>
            </w:r>
            <w:r>
              <w:t xml:space="preserve"> Bewoners met een extramurale indicatie kunnen een lage kostprijs </w:t>
            </w:r>
            <w:r w:rsidR="007D7998">
              <w:t>zich hier</w:t>
            </w:r>
            <w:r>
              <w:t xml:space="preserve">bij aansluiten. </w:t>
            </w:r>
            <w:r w:rsidR="00785BAB">
              <w:br/>
            </w:r>
            <w:r>
              <w:t xml:space="preserve">Zij kunnen uiteraard ook zelf een </w:t>
            </w:r>
            <w:r w:rsidR="007A6B96">
              <w:t>i</w:t>
            </w:r>
            <w:r w:rsidR="007D7998">
              <w:t>nboedel</w:t>
            </w:r>
            <w:r>
              <w:t xml:space="preserve">verzekering afsluiten. </w:t>
            </w:r>
            <w:r w:rsidR="004D0452">
              <w:br/>
            </w:r>
          </w:p>
        </w:tc>
      </w:tr>
      <w:tr w:rsidR="00826D45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826D45" w:rsidRPr="00162032" w:rsidRDefault="00826D45">
            <w:pPr>
              <w:rPr>
                <w:b/>
              </w:rPr>
            </w:pPr>
            <w:r w:rsidRPr="00162032">
              <w:rPr>
                <w:b/>
              </w:rPr>
              <w:t>Woninginrichting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/>
          <w:p w:rsidR="00826D45" w:rsidRDefault="001E4781">
            <w:r>
              <w:t>Elke nieuw</w:t>
            </w:r>
            <w:r w:rsidR="00DB17EF">
              <w:t xml:space="preserve"> appartement wordt opgeleverd met vloerbedekking en (indien gewenst) een standaard inrichting. </w:t>
            </w:r>
          </w:p>
          <w:p w:rsidR="00011F04" w:rsidRDefault="00011F04"/>
        </w:tc>
      </w:tr>
      <w:tr w:rsidR="00826D45" w:rsidTr="004D0452">
        <w:tc>
          <w:tcPr>
            <w:tcW w:w="2093" w:type="dxa"/>
            <w:shd w:val="clear" w:color="auto" w:fill="D9D9D9" w:themeFill="background1" w:themeFillShade="D9"/>
          </w:tcPr>
          <w:p w:rsidR="00826D45" w:rsidRPr="00162032" w:rsidRDefault="00826D45">
            <w:pPr>
              <w:rPr>
                <w:b/>
              </w:rPr>
            </w:pPr>
          </w:p>
          <w:p w:rsidR="00826D45" w:rsidRPr="00162032" w:rsidRDefault="0092239C">
            <w:pPr>
              <w:rPr>
                <w:b/>
              </w:rPr>
            </w:pPr>
            <w:r>
              <w:rPr>
                <w:b/>
              </w:rPr>
              <w:t>De was</w:t>
            </w:r>
          </w:p>
          <w:p w:rsidR="00826D45" w:rsidRPr="00162032" w:rsidRDefault="00826D45">
            <w:pPr>
              <w:rPr>
                <w:b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/>
          <w:p w:rsidR="00826D45" w:rsidRDefault="00DB17EF">
            <w:r>
              <w:t xml:space="preserve">Alle persoonlijke was wordt door de Okkernoot gewassen. Bewoners met een intramurale indicatie die buiten de hoofdlocaties wonen krijgen een wasmachine ter beschikking gesteld. </w:t>
            </w:r>
            <w:r w:rsidR="004D0452">
              <w:br/>
            </w:r>
          </w:p>
        </w:tc>
      </w:tr>
      <w:tr w:rsidR="00A901E9" w:rsidTr="004D0452">
        <w:tc>
          <w:tcPr>
            <w:tcW w:w="2093" w:type="dxa"/>
            <w:shd w:val="clear" w:color="auto" w:fill="D9D9D9" w:themeFill="background1" w:themeFillShade="D9"/>
          </w:tcPr>
          <w:p w:rsidR="00011F04" w:rsidRDefault="00011F04">
            <w:pPr>
              <w:rPr>
                <w:b/>
              </w:rPr>
            </w:pPr>
          </w:p>
          <w:p w:rsidR="00A901E9" w:rsidRPr="00162032" w:rsidRDefault="00A901E9">
            <w:pPr>
              <w:rPr>
                <w:b/>
              </w:rPr>
            </w:pPr>
            <w:r>
              <w:rPr>
                <w:b/>
              </w:rPr>
              <w:t>Vervoer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011F04" w:rsidRDefault="00011F04" w:rsidP="00A901E9">
            <w:pPr>
              <w:pStyle w:val="Plattetekstinspringen"/>
              <w:tabs>
                <w:tab w:val="clear" w:pos="360"/>
              </w:tabs>
              <w:ind w:left="0" w:firstLine="0"/>
              <w:jc w:val="both"/>
            </w:pPr>
          </w:p>
          <w:p w:rsidR="00A901E9" w:rsidRPr="00A901E9" w:rsidRDefault="00A901E9" w:rsidP="00A901E9">
            <w:pPr>
              <w:pStyle w:val="Plattetekstinspringen"/>
              <w:tabs>
                <w:tab w:val="clear" w:pos="360"/>
              </w:tabs>
              <w:ind w:left="0" w:firstLine="0"/>
              <w:jc w:val="both"/>
            </w:pPr>
            <w:r w:rsidRPr="00A901E9">
              <w:t xml:space="preserve">Bewoners kunnen een beroep doen op vervoer door de Okkernoot bij </w:t>
            </w:r>
            <w:proofErr w:type="spellStart"/>
            <w:r w:rsidRPr="00A901E9">
              <w:t>artsbezoek</w:t>
            </w:r>
            <w:proofErr w:type="spellEnd"/>
            <w:r w:rsidRPr="00A901E9">
              <w:t xml:space="preserve">, dagje uit, inkopen, e.d. </w:t>
            </w:r>
          </w:p>
          <w:p w:rsidR="00A901E9" w:rsidRDefault="00A901E9" w:rsidP="007A6B96">
            <w:pPr>
              <w:pStyle w:val="Plattetekstinspringen"/>
              <w:tabs>
                <w:tab w:val="clear" w:pos="360"/>
              </w:tabs>
              <w:ind w:left="0" w:firstLine="0"/>
              <w:jc w:val="both"/>
            </w:pPr>
            <w:r w:rsidRPr="00A901E9">
              <w:t xml:space="preserve">Bewoners betalen </w:t>
            </w:r>
            <w:r>
              <w:t xml:space="preserve">hiervoor </w:t>
            </w:r>
            <w:r w:rsidRPr="00A901E9">
              <w:t>de variabele autokosten op basis van het solidariteitsbeginsel. Dat betekent concreet dat we geen ritadministratie bijhouden maar de 50% van de kosten, die staan voor het servicedeel (het kunnen gebruik maken van een auto) evenre</w:t>
            </w:r>
            <w:r w:rsidR="00E040E6">
              <w:t>dig verdelen over alle bewoners</w:t>
            </w:r>
            <w:r w:rsidR="0024746C">
              <w:t xml:space="preserve"> (in 2014</w:t>
            </w:r>
            <w:r>
              <w:t xml:space="preserve"> </w:t>
            </w:r>
            <w:r w:rsidR="00E040E6">
              <w:t xml:space="preserve">b.v. </w:t>
            </w:r>
            <w:r>
              <w:t>€ 10,65 per maand)</w:t>
            </w:r>
            <w:r w:rsidR="00E040E6">
              <w:t>.</w:t>
            </w:r>
            <w:r w:rsidRPr="00A901E9">
              <w:t xml:space="preserve"> De andere 50%, di</w:t>
            </w:r>
            <w:r w:rsidR="007A6B96">
              <w:t xml:space="preserve">e staat voor </w:t>
            </w:r>
            <w:proofErr w:type="spellStart"/>
            <w:r w:rsidR="007A6B96">
              <w:t>Wlz</w:t>
            </w:r>
            <w:proofErr w:type="spellEnd"/>
            <w:r w:rsidR="007A6B96">
              <w:t>-</w:t>
            </w:r>
            <w:r w:rsidR="00CF7834">
              <w:t>vervoersrecht,</w:t>
            </w:r>
            <w:r w:rsidRPr="00A901E9">
              <w:t xml:space="preserve"> is voor rekening van de Okkernoot. </w:t>
            </w:r>
            <w:r w:rsidR="007A6B96">
              <w:t>iedere</w:t>
            </w:r>
            <w:r w:rsidRPr="00A901E9">
              <w:t xml:space="preserve"> locatie </w:t>
            </w:r>
            <w:r w:rsidR="007A6B96">
              <w:t xml:space="preserve">heeft </w:t>
            </w:r>
            <w:r w:rsidRPr="00A901E9">
              <w:t>een eigen auto ter beschikking.</w:t>
            </w:r>
          </w:p>
        </w:tc>
      </w:tr>
    </w:tbl>
    <w:p w:rsidR="00577BBC" w:rsidRDefault="00577BBC" w:rsidP="00011F04"/>
    <w:sectPr w:rsidR="00577BBC" w:rsidSect="00011F04">
      <w:pgSz w:w="11904" w:h="16836"/>
      <w:pgMar w:top="284" w:right="567" w:bottom="284" w:left="851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67E"/>
    <w:multiLevelType w:val="hybridMultilevel"/>
    <w:tmpl w:val="0598E7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53360"/>
    <w:multiLevelType w:val="hybridMultilevel"/>
    <w:tmpl w:val="2E722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5C"/>
    <w:rsid w:val="00011F04"/>
    <w:rsid w:val="00015161"/>
    <w:rsid w:val="000B32A3"/>
    <w:rsid w:val="00162032"/>
    <w:rsid w:val="001E4781"/>
    <w:rsid w:val="0024746C"/>
    <w:rsid w:val="002500BF"/>
    <w:rsid w:val="002D794B"/>
    <w:rsid w:val="003E3C5C"/>
    <w:rsid w:val="004D0452"/>
    <w:rsid w:val="00562294"/>
    <w:rsid w:val="00577BBC"/>
    <w:rsid w:val="006938B3"/>
    <w:rsid w:val="00785BAB"/>
    <w:rsid w:val="007A6B96"/>
    <w:rsid w:val="007D7998"/>
    <w:rsid w:val="00826D45"/>
    <w:rsid w:val="0092239C"/>
    <w:rsid w:val="009C336F"/>
    <w:rsid w:val="00A901E9"/>
    <w:rsid w:val="00AC076D"/>
    <w:rsid w:val="00AC3A05"/>
    <w:rsid w:val="00BA326C"/>
    <w:rsid w:val="00C464F4"/>
    <w:rsid w:val="00CF7834"/>
    <w:rsid w:val="00D702DA"/>
    <w:rsid w:val="00DB0BA2"/>
    <w:rsid w:val="00DB17EF"/>
    <w:rsid w:val="00DD431E"/>
    <w:rsid w:val="00DD6876"/>
    <w:rsid w:val="00E040E6"/>
    <w:rsid w:val="00E5619D"/>
    <w:rsid w:val="00E76834"/>
    <w:rsid w:val="00F16331"/>
    <w:rsid w:val="00F725FE"/>
    <w:rsid w:val="00F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7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725F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F725FE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16331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A901E9"/>
    <w:pPr>
      <w:tabs>
        <w:tab w:val="left" w:pos="360"/>
      </w:tabs>
      <w:ind w:left="360" w:hanging="360"/>
    </w:pPr>
    <w:rPr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901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7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725F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F725FE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16331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A901E9"/>
    <w:pPr>
      <w:tabs>
        <w:tab w:val="left" w:pos="360"/>
      </w:tabs>
      <w:ind w:left="360" w:hanging="360"/>
    </w:pPr>
    <w:rPr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90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D400-D032-4C14-814B-7342FF7C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59301E82</Template>
  <TotalTime>37</TotalTime>
  <Pages>1</Pages>
  <Words>329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Emmie Hallegraeff</dc:creator>
  <cp:lastModifiedBy>Emmie Hallegraeff</cp:lastModifiedBy>
  <cp:revision>5</cp:revision>
  <cp:lastPrinted>2013-08-29T11:11:00Z</cp:lastPrinted>
  <dcterms:created xsi:type="dcterms:W3CDTF">2017-01-30T11:28:00Z</dcterms:created>
  <dcterms:modified xsi:type="dcterms:W3CDTF">2017-02-01T14:20:00Z</dcterms:modified>
</cp:coreProperties>
</file>